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4F7CC403" w14:textId="77C1150F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</w:p>
    <w:p w14:paraId="53F2636E" w14:textId="77777777" w:rsidR="00F40C9B" w:rsidRPr="003110FB" w:rsidRDefault="00F40C9B" w:rsidP="00F40C9B">
      <w:pPr>
        <w:pStyle w:val="ListParagraph"/>
        <w:spacing w:after="0"/>
      </w:pPr>
    </w:p>
    <w:p w14:paraId="007881C2" w14:textId="6C143EC5" w:rsidR="000B01A4" w:rsidRPr="00F40C9B" w:rsidRDefault="00B93232" w:rsidP="00F40C9B">
      <w:pPr>
        <w:spacing w:after="0"/>
        <w:ind w:left="720"/>
        <w:rPr>
          <w:i/>
          <w:color w:val="5B9BD5" w:themeColor="accent1"/>
        </w:rPr>
      </w:pPr>
      <w:bookmarkStart w:id="0" w:name="_GoBack"/>
      <w:bookmarkEnd w:id="0"/>
      <w:r>
        <w:rPr>
          <w:i/>
          <w:color w:val="5B9BD5" w:themeColor="accent1"/>
        </w:rPr>
        <w:t>Consumer Safety</w:t>
      </w:r>
      <w:r w:rsidR="004C25B3">
        <w:rPr>
          <w:i/>
          <w:color w:val="5B9BD5" w:themeColor="accent1"/>
        </w:rPr>
        <w:t>, Education, and Health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0DB32DFC" w14:textId="1718854D" w:rsidR="007746E2" w:rsidRPr="00421B42" w:rsidRDefault="00A86D20" w:rsidP="007A4A8C">
      <w:pPr>
        <w:pStyle w:val="ListParagraph"/>
        <w:numPr>
          <w:ilvl w:val="0"/>
          <w:numId w:val="1"/>
        </w:numPr>
        <w:spacing w:after="0"/>
        <w:rPr>
          <w:i/>
          <w:color w:val="5B9BD5" w:themeColor="accent1"/>
        </w:rPr>
      </w:pPr>
      <w:r>
        <w:t xml:space="preserve"> </w:t>
      </w:r>
      <w:r w:rsidR="00DC4C91">
        <w:t>Individual s</w:t>
      </w:r>
      <w:r w:rsidR="007746E2" w:rsidRPr="003110FB">
        <w:t>ponsor(s):</w:t>
      </w:r>
      <w:r w:rsidR="00421B42">
        <w:t xml:space="preserve">  </w:t>
      </w:r>
    </w:p>
    <w:p w14:paraId="7594439A" w14:textId="1213CB0F" w:rsidR="00F40C9B" w:rsidRDefault="00A86D20" w:rsidP="00F40C9B">
      <w:pPr>
        <w:pStyle w:val="ListParagraph"/>
        <w:spacing w:after="0"/>
      </w:pPr>
      <w:r>
        <w:t xml:space="preserve"> </w:t>
      </w:r>
    </w:p>
    <w:p w14:paraId="459D9B4B" w14:textId="4B4AB7E4" w:rsidR="001C0D87" w:rsidRDefault="00017409" w:rsidP="00F40C9B">
      <w:pPr>
        <w:pStyle w:val="ListParagraph"/>
        <w:spacing w:after="0"/>
        <w:rPr>
          <w:i/>
          <w:color w:val="5B9BD5" w:themeColor="accent1"/>
        </w:rPr>
      </w:pPr>
      <w:r>
        <w:rPr>
          <w:i/>
          <w:color w:val="5B9BD5" w:themeColor="accent1"/>
        </w:rPr>
        <w:t xml:space="preserve">Dr. </w:t>
      </w:r>
      <w:r w:rsidR="001C0D87">
        <w:rPr>
          <w:i/>
          <w:color w:val="5B9BD5" w:themeColor="accent1"/>
        </w:rPr>
        <w:t xml:space="preserve">John </w:t>
      </w:r>
      <w:proofErr w:type="spellStart"/>
      <w:r w:rsidR="001C0D87">
        <w:rPr>
          <w:i/>
          <w:color w:val="5B9BD5" w:themeColor="accent1"/>
        </w:rPr>
        <w:t>DiMuro</w:t>
      </w:r>
      <w:proofErr w:type="spellEnd"/>
      <w:r>
        <w:rPr>
          <w:i/>
          <w:color w:val="5B9BD5" w:themeColor="accent1"/>
        </w:rPr>
        <w:t>, Chief Medical Officer DHHS</w:t>
      </w:r>
    </w:p>
    <w:p w14:paraId="40BE60B9" w14:textId="48DEEF08" w:rsidR="001C0D87" w:rsidRDefault="00017409" w:rsidP="00F40C9B">
      <w:pPr>
        <w:pStyle w:val="ListParagraph"/>
        <w:spacing w:after="0"/>
        <w:rPr>
          <w:i/>
          <w:color w:val="5B9BD5" w:themeColor="accent1"/>
        </w:rPr>
      </w:pPr>
      <w:r>
        <w:rPr>
          <w:i/>
          <w:color w:val="5B9BD5" w:themeColor="accent1"/>
        </w:rPr>
        <w:t xml:space="preserve">Dr. </w:t>
      </w:r>
      <w:r w:rsidR="001C0D87">
        <w:rPr>
          <w:i/>
          <w:color w:val="5B9BD5" w:themeColor="accent1"/>
        </w:rPr>
        <w:t>Shane Johnson</w:t>
      </w:r>
      <w:r>
        <w:rPr>
          <w:i/>
          <w:color w:val="5B9BD5" w:themeColor="accent1"/>
        </w:rPr>
        <w:t>, SJ3D Holdings, Inc.</w:t>
      </w:r>
    </w:p>
    <w:p w14:paraId="22590AAC" w14:textId="2B84D136" w:rsidR="00DC37BD" w:rsidRPr="003110FB" w:rsidRDefault="001C0D87" w:rsidP="00F40C9B">
      <w:pPr>
        <w:pStyle w:val="ListParagraph"/>
        <w:spacing w:after="0"/>
      </w:pPr>
      <w:r>
        <w:rPr>
          <w:i/>
          <w:color w:val="5B9BD5" w:themeColor="accent1"/>
        </w:rPr>
        <w:t xml:space="preserve">Jen </w:t>
      </w:r>
      <w:proofErr w:type="spellStart"/>
      <w:r>
        <w:rPr>
          <w:i/>
          <w:color w:val="5B9BD5" w:themeColor="accent1"/>
        </w:rPr>
        <w:t>Solas</w:t>
      </w:r>
      <w:proofErr w:type="spellEnd"/>
      <w:r w:rsidR="00017409">
        <w:rPr>
          <w:i/>
          <w:color w:val="5B9BD5" w:themeColor="accent1"/>
        </w:rPr>
        <w:t>, WECAN</w:t>
      </w:r>
    </w:p>
    <w:p w14:paraId="16FCE777" w14:textId="77777777" w:rsidR="000B01A4" w:rsidRPr="003110FB" w:rsidRDefault="000B01A4" w:rsidP="000B01A4">
      <w:pPr>
        <w:spacing w:after="0"/>
      </w:pPr>
    </w:p>
    <w:p w14:paraId="1A3A91AB" w14:textId="77777777" w:rsidR="009743BB" w:rsidRPr="009743BB" w:rsidRDefault="00DC4C91" w:rsidP="00E9081E">
      <w:pPr>
        <w:pStyle w:val="ListParagraph"/>
        <w:numPr>
          <w:ilvl w:val="0"/>
          <w:numId w:val="1"/>
        </w:numPr>
        <w:spacing w:after="0"/>
        <w:rPr>
          <w:i/>
          <w:color w:val="5B9BD5" w:themeColor="accent1"/>
        </w:rPr>
      </w:pPr>
      <w:r>
        <w:t>Describe the r</w:t>
      </w:r>
      <w:r w:rsidR="000B01A4" w:rsidRPr="003110FB">
        <w:t>ecommendation:</w:t>
      </w:r>
      <w:r w:rsidR="005B05EE">
        <w:t xml:space="preserve"> </w:t>
      </w:r>
    </w:p>
    <w:p w14:paraId="2E78C797" w14:textId="77777777" w:rsidR="009743BB" w:rsidRPr="009743BB" w:rsidRDefault="009743BB" w:rsidP="009743BB">
      <w:pPr>
        <w:pStyle w:val="ListParagraph"/>
        <w:spacing w:after="0"/>
        <w:rPr>
          <w:i/>
          <w:color w:val="5B9BD5" w:themeColor="accent1"/>
        </w:rPr>
      </w:pPr>
    </w:p>
    <w:p w14:paraId="597DD0A8" w14:textId="13A7F128" w:rsidR="00BD02A0" w:rsidRDefault="00BD02A0" w:rsidP="00BD02A0">
      <w:pPr>
        <w:pStyle w:val="ListParagraph"/>
        <w:numPr>
          <w:ilvl w:val="0"/>
          <w:numId w:val="6"/>
        </w:numPr>
        <w:spacing w:after="0"/>
        <w:rPr>
          <w:i/>
          <w:color w:val="5B9BD5" w:themeColor="accent1"/>
        </w:rPr>
      </w:pPr>
      <w:r>
        <w:rPr>
          <w:i/>
          <w:color w:val="5B9BD5" w:themeColor="accent1"/>
        </w:rPr>
        <w:t>Uniform labeling requirement</w:t>
      </w:r>
      <w:r w:rsidR="00CB53DE">
        <w:rPr>
          <w:i/>
          <w:color w:val="5B9BD5" w:themeColor="accent1"/>
        </w:rPr>
        <w:t xml:space="preserve"> mandating at least THC% and the commensurate quantification in </w:t>
      </w:r>
      <w:r w:rsidR="00FC5B4E">
        <w:rPr>
          <w:i/>
          <w:color w:val="5B9BD5" w:themeColor="accent1"/>
        </w:rPr>
        <w:t xml:space="preserve">a </w:t>
      </w:r>
      <w:r w:rsidR="00CB53DE">
        <w:rPr>
          <w:i/>
          <w:color w:val="5B9BD5" w:themeColor="accent1"/>
        </w:rPr>
        <w:t>milligrams/gram</w:t>
      </w:r>
      <w:r w:rsidR="00FC5B4E">
        <w:rPr>
          <w:i/>
          <w:color w:val="5B9BD5" w:themeColor="accent1"/>
        </w:rPr>
        <w:t xml:space="preserve"> equivalent. </w:t>
      </w:r>
    </w:p>
    <w:p w14:paraId="28AF9710" w14:textId="6D90CACC" w:rsidR="00C41991" w:rsidRDefault="00C41991" w:rsidP="00BD02A0">
      <w:pPr>
        <w:pStyle w:val="ListParagraph"/>
        <w:numPr>
          <w:ilvl w:val="0"/>
          <w:numId w:val="6"/>
        </w:numPr>
        <w:spacing w:after="0"/>
        <w:rPr>
          <w:i/>
          <w:color w:val="5B9BD5" w:themeColor="accent1"/>
        </w:rPr>
      </w:pPr>
      <w:r>
        <w:rPr>
          <w:i/>
          <w:color w:val="5B9BD5" w:themeColor="accent1"/>
        </w:rPr>
        <w:t>Empower the Department of Taxation to amend packaging and labeling requirements commensurate with research</w:t>
      </w:r>
    </w:p>
    <w:p w14:paraId="68D962B0" w14:textId="764FA487" w:rsidR="00C41991" w:rsidRPr="00C41991" w:rsidRDefault="00C41991" w:rsidP="00C41991">
      <w:pPr>
        <w:spacing w:after="0"/>
        <w:rPr>
          <w:i/>
          <w:color w:val="5B9BD5" w:themeColor="accent1"/>
        </w:rPr>
      </w:pPr>
    </w:p>
    <w:p w14:paraId="58B06D07" w14:textId="77777777" w:rsidR="00BD02A0" w:rsidRDefault="00BD02A0" w:rsidP="00BD02A0">
      <w:pPr>
        <w:pStyle w:val="ListParagraph"/>
        <w:spacing w:after="0"/>
        <w:ind w:left="1440"/>
        <w:rPr>
          <w:i/>
          <w:color w:val="5B9BD5" w:themeColor="accent1"/>
        </w:rPr>
      </w:pPr>
    </w:p>
    <w:p w14:paraId="15537208" w14:textId="05111224" w:rsidR="005C2FC2" w:rsidRDefault="00BD02A0" w:rsidP="000B452F">
      <w:pPr>
        <w:pStyle w:val="ListParagraph"/>
        <w:spacing w:after="0"/>
        <w:rPr>
          <w:i/>
          <w:color w:val="5B9BD5" w:themeColor="accent1"/>
        </w:rPr>
      </w:pPr>
      <w:r>
        <w:rPr>
          <w:i/>
          <w:color w:val="5B9BD5" w:themeColor="accent1"/>
        </w:rPr>
        <w:t xml:space="preserve">Discussion: </w:t>
      </w:r>
      <w:r>
        <w:rPr>
          <w:i/>
          <w:color w:val="5B9BD5" w:themeColor="accent1"/>
        </w:rPr>
        <w:tab/>
      </w:r>
      <w:r w:rsidR="005B05EE" w:rsidRPr="00B25BD5">
        <w:rPr>
          <w:i/>
          <w:color w:val="5B9BD5" w:themeColor="accent1"/>
        </w:rPr>
        <w:t xml:space="preserve">We recommend </w:t>
      </w:r>
      <w:r w:rsidR="009743BB">
        <w:rPr>
          <w:i/>
          <w:color w:val="5B9BD5" w:themeColor="accent1"/>
        </w:rPr>
        <w:t xml:space="preserve">that there be </w:t>
      </w:r>
      <w:r w:rsidR="005C2FC2">
        <w:rPr>
          <w:i/>
          <w:color w:val="5B9BD5" w:themeColor="accent1"/>
        </w:rPr>
        <w:t>uniform</w:t>
      </w:r>
      <w:r w:rsidR="009743BB">
        <w:rPr>
          <w:i/>
          <w:color w:val="5B9BD5" w:themeColor="accent1"/>
        </w:rPr>
        <w:t xml:space="preserve"> requirements for the </w:t>
      </w:r>
      <w:r w:rsidR="00442835">
        <w:rPr>
          <w:i/>
          <w:color w:val="5B9BD5" w:themeColor="accent1"/>
        </w:rPr>
        <w:t xml:space="preserve">prominent </w:t>
      </w:r>
      <w:r w:rsidR="009743BB">
        <w:rPr>
          <w:i/>
          <w:color w:val="5B9BD5" w:themeColor="accent1"/>
        </w:rPr>
        <w:t xml:space="preserve">printing of </w:t>
      </w:r>
      <w:r w:rsidR="005B05EE" w:rsidRPr="00B25BD5">
        <w:rPr>
          <w:i/>
          <w:color w:val="5B9BD5" w:themeColor="accent1"/>
        </w:rPr>
        <w:t xml:space="preserve">THC content </w:t>
      </w:r>
      <w:r w:rsidR="009743BB">
        <w:rPr>
          <w:i/>
          <w:color w:val="5B9BD5" w:themeColor="accent1"/>
        </w:rPr>
        <w:t xml:space="preserve">on packaging / labeling SEPARATE from the labels that carry all </w:t>
      </w:r>
      <w:r w:rsidR="005C2FC2">
        <w:rPr>
          <w:i/>
          <w:color w:val="5B9BD5" w:themeColor="accent1"/>
        </w:rPr>
        <w:t>of the mandated lab test result data, etc.  These latter labels are confusing because they contain so much information, the typical consumer will not necessarily understand what they are consuming.</w:t>
      </w:r>
      <w:r w:rsidR="00442835">
        <w:rPr>
          <w:i/>
          <w:color w:val="5B9BD5" w:themeColor="accent1"/>
        </w:rPr>
        <w:t xml:space="preserve">  Further, </w:t>
      </w:r>
      <w:proofErr w:type="gramStart"/>
      <w:r w:rsidR="00442835" w:rsidRPr="00CD7DD3">
        <w:rPr>
          <w:i/>
          <w:color w:val="5B9BD5" w:themeColor="accent1"/>
        </w:rPr>
        <w:t>The</w:t>
      </w:r>
      <w:proofErr w:type="gramEnd"/>
      <w:r w:rsidR="00442835" w:rsidRPr="00CD7DD3">
        <w:rPr>
          <w:i/>
          <w:color w:val="5B9BD5" w:themeColor="accent1"/>
        </w:rPr>
        <w:t xml:space="preserve"> THC variance (currently discussed among the various work groups as +/- 15%) must be adopted as standard (and should also be required to be printed on the packages and/or labels) otherwise ANY variance (in THC) makes this measure cost prohibitive.</w:t>
      </w:r>
    </w:p>
    <w:p w14:paraId="3990E90E" w14:textId="77777777" w:rsidR="005C2FC2" w:rsidRDefault="005C2FC2" w:rsidP="009743BB">
      <w:pPr>
        <w:pStyle w:val="ListParagraph"/>
        <w:spacing w:after="0"/>
        <w:rPr>
          <w:i/>
          <w:color w:val="5B9BD5" w:themeColor="accent1"/>
        </w:rPr>
      </w:pPr>
    </w:p>
    <w:p w14:paraId="34B75356" w14:textId="210CD7C3" w:rsidR="00442835" w:rsidRDefault="00442835" w:rsidP="00CD7DD3">
      <w:pPr>
        <w:pStyle w:val="ListParagraph"/>
        <w:spacing w:after="0"/>
        <w:rPr>
          <w:i/>
          <w:color w:val="5B9BD5" w:themeColor="accent1"/>
        </w:rPr>
      </w:pPr>
      <w:r>
        <w:rPr>
          <w:i/>
          <w:color w:val="5B9BD5" w:themeColor="accent1"/>
        </w:rPr>
        <w:t>With the understanding that products containing THC entail differing routes of administration and are found in different form factors, the following is proposed</w:t>
      </w:r>
      <w:r w:rsidR="00AF48C7">
        <w:rPr>
          <w:i/>
          <w:color w:val="5B9BD5" w:themeColor="accent1"/>
        </w:rPr>
        <w:t xml:space="preserve"> in terms of </w:t>
      </w:r>
      <w:r w:rsidR="00017409">
        <w:rPr>
          <w:i/>
          <w:color w:val="5B9BD5" w:themeColor="accent1"/>
        </w:rPr>
        <w:t xml:space="preserve">initial required </w:t>
      </w:r>
      <w:r w:rsidR="00AF48C7">
        <w:rPr>
          <w:i/>
          <w:color w:val="5B9BD5" w:themeColor="accent1"/>
        </w:rPr>
        <w:t>uniform potency labeling.</w:t>
      </w:r>
    </w:p>
    <w:p w14:paraId="2175E2D0" w14:textId="77777777" w:rsidR="00442835" w:rsidRDefault="00442835" w:rsidP="00CD7DD3">
      <w:pPr>
        <w:pStyle w:val="ListParagraph"/>
        <w:spacing w:after="0"/>
        <w:rPr>
          <w:i/>
          <w:color w:val="5B9BD5" w:themeColor="accent1"/>
        </w:rPr>
      </w:pPr>
    </w:p>
    <w:p w14:paraId="428B1536" w14:textId="39B60480" w:rsidR="00442835" w:rsidRDefault="00AF48C7" w:rsidP="00CD7DD3">
      <w:pPr>
        <w:pStyle w:val="ListParagraph"/>
        <w:spacing w:after="0"/>
        <w:rPr>
          <w:i/>
          <w:color w:val="5B9BD5" w:themeColor="accent1"/>
        </w:rPr>
      </w:pPr>
      <w:r>
        <w:rPr>
          <w:i/>
          <w:color w:val="5B9BD5" w:themeColor="accent1"/>
        </w:rPr>
        <w:tab/>
        <w:t xml:space="preserve">For flower, concentrates, </w:t>
      </w:r>
      <w:r w:rsidR="00442835">
        <w:rPr>
          <w:i/>
          <w:color w:val="5B9BD5" w:themeColor="accent1"/>
        </w:rPr>
        <w:t>topicals</w:t>
      </w:r>
      <w:r>
        <w:rPr>
          <w:i/>
          <w:color w:val="5B9BD5" w:themeColor="accent1"/>
        </w:rPr>
        <w:t>, and tinctures:</w:t>
      </w:r>
    </w:p>
    <w:p w14:paraId="13719275" w14:textId="527EE4EB" w:rsidR="00AF48C7" w:rsidRDefault="00AF48C7" w:rsidP="00CD7DD3">
      <w:pPr>
        <w:pStyle w:val="ListParagraph"/>
        <w:spacing w:after="0"/>
        <w:rPr>
          <w:i/>
          <w:color w:val="5B9BD5" w:themeColor="accent1"/>
        </w:rPr>
      </w:pPr>
      <w:r>
        <w:rPr>
          <w:i/>
          <w:color w:val="5B9BD5" w:themeColor="accent1"/>
        </w:rPr>
        <w:tab/>
      </w:r>
      <w:r>
        <w:rPr>
          <w:i/>
          <w:color w:val="5B9BD5" w:themeColor="accent1"/>
        </w:rPr>
        <w:tab/>
        <w:t>XX% THC (+/- relative 15%)  (e.g., if % is 20%, should state, “20% THC (+/- 3%)</w:t>
      </w:r>
    </w:p>
    <w:p w14:paraId="070C4BC1" w14:textId="6920E2F6" w:rsidR="00AF48C7" w:rsidRDefault="00AF48C7" w:rsidP="00CD7DD3">
      <w:pPr>
        <w:pStyle w:val="ListParagraph"/>
        <w:spacing w:after="0"/>
        <w:rPr>
          <w:i/>
          <w:color w:val="5B9BD5" w:themeColor="accent1"/>
        </w:rPr>
      </w:pPr>
      <w:r>
        <w:rPr>
          <w:i/>
          <w:color w:val="5B9BD5" w:themeColor="accent1"/>
        </w:rPr>
        <w:tab/>
      </w:r>
      <w:r>
        <w:rPr>
          <w:i/>
          <w:color w:val="5B9BD5" w:themeColor="accent1"/>
        </w:rPr>
        <w:tab/>
        <w:t>XX mg/g THC (+/- 15%)  (e.g., 200 mg/g +/- 15%)</w:t>
      </w:r>
    </w:p>
    <w:p w14:paraId="2DAFDE2C" w14:textId="16D899F6" w:rsidR="00AF48C7" w:rsidRDefault="00AF48C7" w:rsidP="00CD7DD3">
      <w:pPr>
        <w:pStyle w:val="ListParagraph"/>
        <w:spacing w:after="0"/>
        <w:rPr>
          <w:i/>
          <w:color w:val="5B9BD5" w:themeColor="accent1"/>
        </w:rPr>
      </w:pPr>
      <w:r>
        <w:rPr>
          <w:i/>
          <w:color w:val="5B9BD5" w:themeColor="accent1"/>
        </w:rPr>
        <w:tab/>
      </w:r>
      <w:r>
        <w:rPr>
          <w:i/>
          <w:color w:val="5B9BD5" w:themeColor="accent1"/>
        </w:rPr>
        <w:tab/>
        <w:t xml:space="preserve">Total mg THC per </w:t>
      </w:r>
      <w:r w:rsidR="001C0D87">
        <w:rPr>
          <w:i/>
          <w:color w:val="5B9BD5" w:themeColor="accent1"/>
        </w:rPr>
        <w:t>container</w:t>
      </w:r>
      <w:r>
        <w:rPr>
          <w:i/>
          <w:color w:val="5B9BD5" w:themeColor="accent1"/>
        </w:rPr>
        <w:t xml:space="preserve"> (package, jar, vial, cartridge, </w:t>
      </w:r>
      <w:proofErr w:type="spellStart"/>
      <w:r>
        <w:rPr>
          <w:i/>
          <w:color w:val="5B9BD5" w:themeColor="accent1"/>
        </w:rPr>
        <w:t>etc</w:t>
      </w:r>
      <w:proofErr w:type="spellEnd"/>
      <w:r>
        <w:rPr>
          <w:i/>
          <w:color w:val="5B9BD5" w:themeColor="accent1"/>
        </w:rPr>
        <w:t>)</w:t>
      </w:r>
    </w:p>
    <w:p w14:paraId="4EEAF98D" w14:textId="77777777" w:rsidR="00AF48C7" w:rsidRDefault="00AF48C7" w:rsidP="00CD7DD3">
      <w:pPr>
        <w:pStyle w:val="ListParagraph"/>
        <w:spacing w:after="0"/>
        <w:rPr>
          <w:i/>
          <w:color w:val="5B9BD5" w:themeColor="accent1"/>
        </w:rPr>
      </w:pPr>
    </w:p>
    <w:p w14:paraId="3B4EECB7" w14:textId="2DE56768" w:rsidR="00AF48C7" w:rsidRDefault="00AF48C7" w:rsidP="00CD7DD3">
      <w:pPr>
        <w:pStyle w:val="ListParagraph"/>
        <w:spacing w:after="0"/>
        <w:rPr>
          <w:i/>
          <w:color w:val="5B9BD5" w:themeColor="accent1"/>
        </w:rPr>
      </w:pPr>
      <w:r>
        <w:rPr>
          <w:i/>
          <w:color w:val="5B9BD5" w:themeColor="accent1"/>
        </w:rPr>
        <w:tab/>
        <w:t>For edibles or other discrete units (e.g., capsules, suppositories, lozenges):</w:t>
      </w:r>
    </w:p>
    <w:p w14:paraId="41F34D33" w14:textId="29D324C3" w:rsidR="00AF48C7" w:rsidRDefault="00AF48C7" w:rsidP="00CD7DD3">
      <w:pPr>
        <w:pStyle w:val="ListParagraph"/>
        <w:spacing w:after="0"/>
        <w:rPr>
          <w:i/>
          <w:color w:val="5B9BD5" w:themeColor="accent1"/>
        </w:rPr>
      </w:pPr>
      <w:r>
        <w:rPr>
          <w:i/>
          <w:color w:val="5B9BD5" w:themeColor="accent1"/>
        </w:rPr>
        <w:tab/>
      </w:r>
      <w:r>
        <w:rPr>
          <w:i/>
          <w:color w:val="5B9BD5" w:themeColor="accent1"/>
        </w:rPr>
        <w:tab/>
        <w:t>XX mg THC per serving or unit (specify name of unit type)</w:t>
      </w:r>
      <w:r w:rsidR="001C0D87">
        <w:rPr>
          <w:i/>
          <w:color w:val="5B9BD5" w:themeColor="accent1"/>
        </w:rPr>
        <w:t xml:space="preserve"> +/- 15%</w:t>
      </w:r>
    </w:p>
    <w:p w14:paraId="54BCDE5E" w14:textId="5945AD9C" w:rsidR="00AF48C7" w:rsidRDefault="00AF48C7" w:rsidP="00CD7DD3">
      <w:pPr>
        <w:pStyle w:val="ListParagraph"/>
        <w:spacing w:after="0"/>
        <w:rPr>
          <w:i/>
          <w:color w:val="5B9BD5" w:themeColor="accent1"/>
        </w:rPr>
      </w:pPr>
      <w:r>
        <w:rPr>
          <w:i/>
          <w:color w:val="5B9BD5" w:themeColor="accent1"/>
        </w:rPr>
        <w:tab/>
      </w:r>
      <w:r>
        <w:rPr>
          <w:i/>
          <w:color w:val="5B9BD5" w:themeColor="accent1"/>
        </w:rPr>
        <w:tab/>
        <w:t xml:space="preserve">YY servings or units per </w:t>
      </w:r>
      <w:r w:rsidR="001C0D87">
        <w:rPr>
          <w:i/>
          <w:color w:val="5B9BD5" w:themeColor="accent1"/>
        </w:rPr>
        <w:t>container</w:t>
      </w:r>
      <w:r>
        <w:rPr>
          <w:i/>
          <w:color w:val="5B9BD5" w:themeColor="accent1"/>
        </w:rPr>
        <w:t xml:space="preserve"> </w:t>
      </w:r>
      <w:r w:rsidR="001C0D87">
        <w:rPr>
          <w:i/>
          <w:color w:val="5B9BD5" w:themeColor="accent1"/>
        </w:rPr>
        <w:t>(package, blister pack, vial, etc.)</w:t>
      </w:r>
    </w:p>
    <w:p w14:paraId="344FAA92" w14:textId="02BB6A24" w:rsidR="001C0D87" w:rsidRPr="001C0D87" w:rsidRDefault="00AF48C7" w:rsidP="001C0D87">
      <w:pPr>
        <w:pStyle w:val="ListParagraph"/>
        <w:spacing w:after="0"/>
        <w:rPr>
          <w:i/>
          <w:color w:val="5B9BD5" w:themeColor="accent1"/>
        </w:rPr>
      </w:pPr>
      <w:r>
        <w:rPr>
          <w:i/>
          <w:color w:val="5B9BD5" w:themeColor="accent1"/>
        </w:rPr>
        <w:tab/>
      </w:r>
      <w:r>
        <w:rPr>
          <w:i/>
          <w:color w:val="5B9BD5" w:themeColor="accent1"/>
        </w:rPr>
        <w:tab/>
        <w:t xml:space="preserve">Total mg THC per </w:t>
      </w:r>
      <w:r w:rsidR="001C0D87">
        <w:rPr>
          <w:i/>
          <w:color w:val="5B9BD5" w:themeColor="accent1"/>
        </w:rPr>
        <w:t>container</w:t>
      </w:r>
      <w:r>
        <w:rPr>
          <w:i/>
          <w:color w:val="5B9BD5" w:themeColor="accent1"/>
        </w:rPr>
        <w:t xml:space="preserve"> </w:t>
      </w:r>
      <w:r w:rsidR="001C0D87">
        <w:rPr>
          <w:i/>
          <w:color w:val="5B9BD5" w:themeColor="accent1"/>
        </w:rPr>
        <w:t>(package, blister pack, vial, etc.)</w:t>
      </w:r>
    </w:p>
    <w:p w14:paraId="5F680333" w14:textId="77777777" w:rsidR="001C0D87" w:rsidRDefault="001C0D87" w:rsidP="00CD7DD3">
      <w:pPr>
        <w:pStyle w:val="ListParagraph"/>
        <w:spacing w:after="0"/>
        <w:rPr>
          <w:i/>
          <w:color w:val="5B9BD5" w:themeColor="accent1"/>
        </w:rPr>
      </w:pPr>
    </w:p>
    <w:p w14:paraId="3347E9D5" w14:textId="5DD2417F" w:rsidR="00CD7DD3" w:rsidRPr="00CD7DD3" w:rsidRDefault="00442835" w:rsidP="00CD7DD3">
      <w:pPr>
        <w:pStyle w:val="ListParagraph"/>
        <w:spacing w:after="0"/>
        <w:rPr>
          <w:i/>
          <w:color w:val="5B9BD5" w:themeColor="accent1"/>
        </w:rPr>
      </w:pPr>
      <w:r>
        <w:rPr>
          <w:i/>
          <w:color w:val="5B9BD5" w:themeColor="accent1"/>
        </w:rPr>
        <w:t xml:space="preserve">We further recommend that the aforementioned </w:t>
      </w:r>
      <w:r w:rsidR="00017409">
        <w:rPr>
          <w:i/>
          <w:color w:val="5B9BD5" w:themeColor="accent1"/>
        </w:rPr>
        <w:t xml:space="preserve">be initial </w:t>
      </w:r>
      <w:r>
        <w:rPr>
          <w:i/>
          <w:color w:val="5B9BD5" w:themeColor="accent1"/>
        </w:rPr>
        <w:t xml:space="preserve">requirements </w:t>
      </w:r>
      <w:r w:rsidR="00017409">
        <w:rPr>
          <w:i/>
          <w:color w:val="5B9BD5" w:themeColor="accent1"/>
        </w:rPr>
        <w:t>only</w:t>
      </w:r>
      <w:r>
        <w:rPr>
          <w:i/>
          <w:color w:val="5B9BD5" w:themeColor="accent1"/>
        </w:rPr>
        <w:t xml:space="preserve">, and that the Department of Taxation should be empowered to </w:t>
      </w:r>
      <w:r w:rsidR="00017409">
        <w:rPr>
          <w:i/>
          <w:color w:val="5B9BD5" w:themeColor="accent1"/>
        </w:rPr>
        <w:t>amend as policy</w:t>
      </w:r>
      <w:r>
        <w:rPr>
          <w:i/>
          <w:color w:val="5B9BD5" w:themeColor="accent1"/>
        </w:rPr>
        <w:t xml:space="preserve"> the packaging</w:t>
      </w:r>
      <w:r w:rsidR="001C0D87">
        <w:rPr>
          <w:i/>
          <w:color w:val="5B9BD5" w:themeColor="accent1"/>
        </w:rPr>
        <w:t xml:space="preserve"> / labeling</w:t>
      </w:r>
      <w:r>
        <w:rPr>
          <w:i/>
          <w:color w:val="5B9BD5" w:themeColor="accent1"/>
        </w:rPr>
        <w:t xml:space="preserve"> requirements</w:t>
      </w:r>
      <w:r w:rsidR="00017409">
        <w:rPr>
          <w:i/>
          <w:color w:val="5B9BD5" w:themeColor="accent1"/>
        </w:rPr>
        <w:t xml:space="preserve"> related to potency</w:t>
      </w:r>
      <w:r>
        <w:rPr>
          <w:i/>
          <w:color w:val="5B9BD5" w:themeColor="accent1"/>
        </w:rPr>
        <w:t xml:space="preserve"> </w:t>
      </w:r>
      <w:r w:rsidR="00017409">
        <w:rPr>
          <w:i/>
          <w:color w:val="5B9BD5" w:themeColor="accent1"/>
        </w:rPr>
        <w:t xml:space="preserve">once </w:t>
      </w:r>
      <w:r>
        <w:rPr>
          <w:i/>
          <w:color w:val="5B9BD5" w:themeColor="accent1"/>
        </w:rPr>
        <w:t>expe</w:t>
      </w:r>
      <w:r w:rsidR="00017409">
        <w:rPr>
          <w:i/>
          <w:color w:val="5B9BD5" w:themeColor="accent1"/>
        </w:rPr>
        <w:t>rience based on market actuals becomes available.</w:t>
      </w:r>
      <w:r w:rsidR="00CD7DD3" w:rsidRPr="00CD7DD3">
        <w:rPr>
          <w:i/>
          <w:color w:val="5B9BD5" w:themeColor="accent1"/>
        </w:rPr>
        <w:t xml:space="preserve">    </w:t>
      </w:r>
    </w:p>
    <w:p w14:paraId="4A3730F6" w14:textId="77777777" w:rsidR="00E9081E" w:rsidRDefault="00E9081E" w:rsidP="00F40C9B">
      <w:pPr>
        <w:spacing w:after="0"/>
        <w:ind w:left="720"/>
        <w:rPr>
          <w:i/>
          <w:color w:val="5B9BD5" w:themeColor="accent1"/>
        </w:rPr>
      </w:pPr>
    </w:p>
    <w:p w14:paraId="4CFB3C67" w14:textId="77777777" w:rsidR="00DC37BD" w:rsidRPr="00F40C9B" w:rsidRDefault="00DC37BD" w:rsidP="00F40C9B">
      <w:pPr>
        <w:spacing w:after="0"/>
        <w:ind w:left="720"/>
        <w:rPr>
          <w:i/>
          <w:color w:val="5B9BD5" w:themeColor="accent1"/>
        </w:rPr>
      </w:pPr>
    </w:p>
    <w:p w14:paraId="73960F90" w14:textId="77777777" w:rsidR="001C0D87" w:rsidRPr="001C0D87" w:rsidRDefault="00DC4C91" w:rsidP="00DC37BD">
      <w:pPr>
        <w:pStyle w:val="ListParagraph"/>
        <w:numPr>
          <w:ilvl w:val="0"/>
          <w:numId w:val="1"/>
        </w:numPr>
        <w:spacing w:after="0"/>
        <w:rPr>
          <w:i/>
          <w:color w:val="5B9BD5" w:themeColor="accent1"/>
        </w:rPr>
      </w:pPr>
      <w:r w:rsidRPr="00F40C9B">
        <w:t>Which guiding p</w:t>
      </w:r>
      <w:r w:rsidR="00E9081E" w:rsidRPr="00F40C9B">
        <w:t>rinciple(s) does this recommendation support?</w:t>
      </w:r>
      <w:r w:rsidR="005B05EE">
        <w:t xml:space="preserve"> </w:t>
      </w:r>
    </w:p>
    <w:p w14:paraId="538A44E7" w14:textId="77777777" w:rsidR="001C0D87" w:rsidRPr="001C0D87" w:rsidRDefault="001C0D87" w:rsidP="001C0D87">
      <w:pPr>
        <w:pStyle w:val="ListParagraph"/>
        <w:spacing w:after="0"/>
        <w:rPr>
          <w:i/>
          <w:color w:val="5B9BD5" w:themeColor="accent1"/>
        </w:rPr>
      </w:pPr>
    </w:p>
    <w:p w14:paraId="7A823D5D" w14:textId="49AB3E52" w:rsidR="001C0D87" w:rsidRDefault="000B452F" w:rsidP="001C0D87">
      <w:pPr>
        <w:pStyle w:val="ListParagraph"/>
        <w:spacing w:after="0"/>
        <w:rPr>
          <w:i/>
          <w:color w:val="5B9BD5" w:themeColor="accent1"/>
        </w:rPr>
      </w:pPr>
      <w:r>
        <w:rPr>
          <w:i/>
          <w:color w:val="5B9BD5" w:themeColor="accent1"/>
        </w:rPr>
        <w:t xml:space="preserve">Guiding Principle </w:t>
      </w:r>
      <w:r w:rsidR="005B05EE" w:rsidRPr="00B25BD5">
        <w:rPr>
          <w:i/>
          <w:color w:val="5B9BD5" w:themeColor="accent1"/>
        </w:rPr>
        <w:t>1</w:t>
      </w:r>
      <w:r>
        <w:rPr>
          <w:i/>
          <w:color w:val="5B9BD5" w:themeColor="accent1"/>
        </w:rPr>
        <w:t xml:space="preserve"> </w:t>
      </w:r>
      <w:r w:rsidR="005B05EE" w:rsidRPr="00B25BD5">
        <w:rPr>
          <w:i/>
          <w:color w:val="5B9BD5" w:themeColor="accent1"/>
        </w:rPr>
        <w:t>-</w:t>
      </w:r>
      <w:r w:rsidR="00CC00E8">
        <w:rPr>
          <w:i/>
          <w:color w:val="5B9BD5" w:themeColor="accent1"/>
        </w:rPr>
        <w:t xml:space="preserve"> </w:t>
      </w:r>
      <w:r w:rsidR="005B05EE" w:rsidRPr="00B25BD5">
        <w:rPr>
          <w:i/>
          <w:color w:val="5B9BD5" w:themeColor="accent1"/>
        </w:rPr>
        <w:t xml:space="preserve">Promote the health safety and well-being of Nevada’s communities. </w:t>
      </w:r>
    </w:p>
    <w:p w14:paraId="245DC44C" w14:textId="77777777" w:rsidR="000B452F" w:rsidRDefault="000B452F" w:rsidP="001C0D87">
      <w:pPr>
        <w:pStyle w:val="ListParagraph"/>
        <w:spacing w:after="0"/>
        <w:rPr>
          <w:i/>
          <w:color w:val="5B9BD5" w:themeColor="accent1"/>
        </w:rPr>
      </w:pPr>
    </w:p>
    <w:p w14:paraId="4AB85693" w14:textId="35700EA0" w:rsidR="001C0D87" w:rsidRDefault="000B452F" w:rsidP="001C0D87">
      <w:pPr>
        <w:pStyle w:val="ListParagraph"/>
        <w:spacing w:after="0"/>
        <w:rPr>
          <w:i/>
          <w:color w:val="5B9BD5" w:themeColor="accent1"/>
        </w:rPr>
      </w:pPr>
      <w:r>
        <w:rPr>
          <w:i/>
          <w:color w:val="5B9BD5" w:themeColor="accent1"/>
        </w:rPr>
        <w:t xml:space="preserve">Guiding Principle </w:t>
      </w:r>
      <w:r w:rsidR="005B05EE" w:rsidRPr="00B25BD5">
        <w:rPr>
          <w:i/>
          <w:color w:val="5B9BD5" w:themeColor="accent1"/>
        </w:rPr>
        <w:t>2</w:t>
      </w:r>
      <w:r>
        <w:rPr>
          <w:i/>
          <w:color w:val="5B9BD5" w:themeColor="accent1"/>
        </w:rPr>
        <w:t xml:space="preserve"> </w:t>
      </w:r>
      <w:r w:rsidR="005B05EE" w:rsidRPr="00B25BD5">
        <w:rPr>
          <w:i/>
          <w:color w:val="5B9BD5" w:themeColor="accent1"/>
        </w:rPr>
        <w:t>-</w:t>
      </w:r>
      <w:r w:rsidR="00CC00E8">
        <w:rPr>
          <w:i/>
          <w:color w:val="5B9BD5" w:themeColor="accent1"/>
        </w:rPr>
        <w:t xml:space="preserve"> </w:t>
      </w:r>
      <w:r w:rsidR="005B05EE" w:rsidRPr="00B25BD5">
        <w:rPr>
          <w:i/>
          <w:color w:val="5B9BD5" w:themeColor="accent1"/>
        </w:rPr>
        <w:t>Be resp</w:t>
      </w:r>
      <w:r w:rsidR="001C0D87">
        <w:rPr>
          <w:i/>
          <w:color w:val="5B9BD5" w:themeColor="accent1"/>
        </w:rPr>
        <w:t>onsive to the needs and issues o</w:t>
      </w:r>
      <w:r w:rsidR="005B05EE" w:rsidRPr="00B25BD5">
        <w:rPr>
          <w:i/>
          <w:color w:val="5B9BD5" w:themeColor="accent1"/>
        </w:rPr>
        <w:t xml:space="preserve">f consumers, non-consumers, local governments and the industry. </w:t>
      </w:r>
    </w:p>
    <w:p w14:paraId="3C404E3C" w14:textId="77777777" w:rsidR="000B452F" w:rsidRDefault="000B452F" w:rsidP="001C0D87">
      <w:pPr>
        <w:pStyle w:val="ListParagraph"/>
        <w:spacing w:after="0"/>
        <w:rPr>
          <w:i/>
          <w:color w:val="5B9BD5" w:themeColor="accent1"/>
        </w:rPr>
      </w:pPr>
    </w:p>
    <w:p w14:paraId="1164138F" w14:textId="26EDE612" w:rsidR="001C0D87" w:rsidRDefault="000B452F" w:rsidP="001C0D87">
      <w:pPr>
        <w:pStyle w:val="ListParagraph"/>
        <w:spacing w:after="0"/>
        <w:rPr>
          <w:i/>
          <w:color w:val="5B9BD5" w:themeColor="accent1"/>
        </w:rPr>
      </w:pPr>
      <w:r>
        <w:rPr>
          <w:i/>
          <w:color w:val="5B9BD5" w:themeColor="accent1"/>
        </w:rPr>
        <w:t xml:space="preserve">Guiding Principle </w:t>
      </w:r>
      <w:r w:rsidR="005B05EE" w:rsidRPr="00B25BD5">
        <w:rPr>
          <w:i/>
          <w:color w:val="5B9BD5" w:themeColor="accent1"/>
        </w:rPr>
        <w:t>4-</w:t>
      </w:r>
      <w:r w:rsidR="00CC00E8">
        <w:rPr>
          <w:i/>
          <w:color w:val="5B9BD5" w:themeColor="accent1"/>
        </w:rPr>
        <w:t xml:space="preserve"> </w:t>
      </w:r>
      <w:r w:rsidR="005B05EE" w:rsidRPr="00B25BD5">
        <w:rPr>
          <w:i/>
          <w:color w:val="5B9BD5" w:themeColor="accent1"/>
        </w:rPr>
        <w:t>Propose efficient and effective regulation that is clear and reasonable and no</w:t>
      </w:r>
      <w:r w:rsidR="001C0D87">
        <w:rPr>
          <w:i/>
          <w:color w:val="5B9BD5" w:themeColor="accent1"/>
        </w:rPr>
        <w:t>t</w:t>
      </w:r>
      <w:r w:rsidR="005B05EE" w:rsidRPr="00B25BD5">
        <w:rPr>
          <w:i/>
          <w:color w:val="5B9BD5" w:themeColor="accent1"/>
        </w:rPr>
        <w:t xml:space="preserve"> unduly burdensome.</w:t>
      </w:r>
    </w:p>
    <w:p w14:paraId="0A06173C" w14:textId="77777777" w:rsidR="000B452F" w:rsidRDefault="000B452F" w:rsidP="001C0D87">
      <w:pPr>
        <w:pStyle w:val="ListParagraph"/>
        <w:spacing w:after="0"/>
        <w:rPr>
          <w:i/>
          <w:color w:val="5B9BD5" w:themeColor="accent1"/>
        </w:rPr>
      </w:pPr>
    </w:p>
    <w:p w14:paraId="5D49260A" w14:textId="2B66F32A" w:rsidR="00DC37BD" w:rsidRPr="00B25BD5" w:rsidRDefault="000B452F" w:rsidP="001C0D87">
      <w:pPr>
        <w:pStyle w:val="ListParagraph"/>
        <w:spacing w:after="0"/>
        <w:rPr>
          <w:i/>
          <w:color w:val="5B9BD5" w:themeColor="accent1"/>
        </w:rPr>
      </w:pPr>
      <w:r>
        <w:rPr>
          <w:i/>
          <w:color w:val="5B9BD5" w:themeColor="accent1"/>
        </w:rPr>
        <w:t>Guiding Principle</w:t>
      </w:r>
      <w:r w:rsidR="005B05EE" w:rsidRPr="00B25BD5">
        <w:rPr>
          <w:i/>
          <w:color w:val="5B9BD5" w:themeColor="accent1"/>
        </w:rPr>
        <w:t xml:space="preserve"> 6-</w:t>
      </w:r>
      <w:r w:rsidR="00CC00E8">
        <w:rPr>
          <w:i/>
          <w:color w:val="5B9BD5" w:themeColor="accent1"/>
        </w:rPr>
        <w:t xml:space="preserve"> </w:t>
      </w:r>
      <w:r w:rsidR="005B05EE" w:rsidRPr="00B25BD5">
        <w:rPr>
          <w:i/>
          <w:color w:val="5B9BD5" w:themeColor="accent1"/>
        </w:rPr>
        <w:t>Establish regulations that are clear and practical, so that interactions between law enforcement, consumers, and licensees are predictable and understandable.</w:t>
      </w:r>
    </w:p>
    <w:p w14:paraId="0512577F" w14:textId="77777777" w:rsidR="00DC37BD" w:rsidRPr="00F40C9B" w:rsidRDefault="00DC37BD" w:rsidP="00F40C9B">
      <w:pPr>
        <w:spacing w:after="0"/>
        <w:ind w:left="720"/>
        <w:rPr>
          <w:i/>
          <w:color w:val="5B9BD5" w:themeColor="accent1"/>
        </w:rPr>
      </w:pPr>
    </w:p>
    <w:p w14:paraId="67FE160D" w14:textId="77777777" w:rsidR="00E9081E" w:rsidRDefault="00E9081E" w:rsidP="00F40C9B">
      <w:pPr>
        <w:pStyle w:val="ListParagraph"/>
        <w:numPr>
          <w:ilvl w:val="0"/>
          <w:numId w:val="1"/>
        </w:numPr>
        <w:spacing w:after="0"/>
      </w:pPr>
      <w:r w:rsidRPr="00F40C9B">
        <w:t xml:space="preserve">What provision(s) of Question 2 does this recommendation apply to?  </w:t>
      </w:r>
    </w:p>
    <w:p w14:paraId="2BB35C15" w14:textId="77777777" w:rsidR="00DC37BD" w:rsidRDefault="00DC37BD" w:rsidP="00DC37BD">
      <w:pPr>
        <w:spacing w:after="0"/>
      </w:pPr>
    </w:p>
    <w:p w14:paraId="4162634F" w14:textId="29CF8162" w:rsidR="00DC37BD" w:rsidRPr="000B452F" w:rsidRDefault="00CC00E8" w:rsidP="00CC00E8">
      <w:pPr>
        <w:spacing w:after="0"/>
        <w:ind w:left="720"/>
        <w:rPr>
          <w:i/>
          <w:color w:val="5B9BD5" w:themeColor="accent1"/>
        </w:rPr>
      </w:pPr>
      <w:r w:rsidRPr="000B452F">
        <w:rPr>
          <w:i/>
          <w:color w:val="5B9BD5" w:themeColor="accent1"/>
        </w:rPr>
        <w:t>Provide regulation for packaging requirements to address public health and public safety</w:t>
      </w:r>
    </w:p>
    <w:p w14:paraId="5B31D8DA" w14:textId="77777777" w:rsidR="00DC37BD" w:rsidRPr="00F40C9B" w:rsidRDefault="00DC37BD" w:rsidP="00DC37BD">
      <w:pPr>
        <w:spacing w:after="0"/>
      </w:pPr>
    </w:p>
    <w:p w14:paraId="243614FF" w14:textId="77777777" w:rsidR="001C0D87" w:rsidRPr="001C0D87" w:rsidRDefault="00E9081E" w:rsidP="00E9081E">
      <w:pPr>
        <w:pStyle w:val="ListParagraph"/>
        <w:numPr>
          <w:ilvl w:val="0"/>
          <w:numId w:val="1"/>
        </w:numPr>
        <w:spacing w:after="0"/>
        <w:rPr>
          <w:color w:val="5B9BD5" w:themeColor="accent1"/>
        </w:rPr>
      </w:pPr>
      <w:r w:rsidRPr="003110FB">
        <w:t>What issue(s) does the recommendation resolve?</w:t>
      </w:r>
      <w:r w:rsidR="005B05EE">
        <w:t xml:space="preserve">  </w:t>
      </w:r>
    </w:p>
    <w:p w14:paraId="57CFC34B" w14:textId="77777777" w:rsidR="001C0D87" w:rsidRPr="001C0D87" w:rsidRDefault="001C0D87" w:rsidP="001C0D87">
      <w:pPr>
        <w:pStyle w:val="ListParagraph"/>
        <w:spacing w:after="0"/>
        <w:rPr>
          <w:color w:val="5B9BD5" w:themeColor="accent1"/>
        </w:rPr>
      </w:pPr>
    </w:p>
    <w:p w14:paraId="1377ECA8" w14:textId="18A34866" w:rsidR="001B0ADC" w:rsidRDefault="005B05EE" w:rsidP="00CC00E8">
      <w:pPr>
        <w:pStyle w:val="ListParagraph"/>
        <w:spacing w:after="0"/>
        <w:rPr>
          <w:i/>
          <w:color w:val="5B9BD5" w:themeColor="accent1"/>
        </w:rPr>
      </w:pPr>
      <w:r w:rsidRPr="001C0D87">
        <w:rPr>
          <w:i/>
          <w:color w:val="5B9BD5" w:themeColor="accent1"/>
        </w:rPr>
        <w:t>It supports public safety</w:t>
      </w:r>
      <w:r w:rsidR="001C0D87" w:rsidRPr="001C0D87">
        <w:rPr>
          <w:i/>
          <w:color w:val="5B9BD5" w:themeColor="accent1"/>
        </w:rPr>
        <w:t xml:space="preserve"> and </w:t>
      </w:r>
      <w:r w:rsidRPr="001C0D87">
        <w:rPr>
          <w:i/>
          <w:color w:val="5B9BD5" w:themeColor="accent1"/>
        </w:rPr>
        <w:t>consumer awareness</w:t>
      </w:r>
    </w:p>
    <w:p w14:paraId="7ABEA5B8" w14:textId="77777777" w:rsidR="001B0ADC" w:rsidRPr="003110FB" w:rsidRDefault="001B0ADC" w:rsidP="001B0ADC">
      <w:pPr>
        <w:spacing w:after="0"/>
      </w:pPr>
    </w:p>
    <w:p w14:paraId="00B231A2" w14:textId="77777777" w:rsidR="0099209B" w:rsidRDefault="001B0ADC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Was there dissent in the group regarding this recommendation?  If yes, please provide a </w:t>
      </w:r>
    </w:p>
    <w:p w14:paraId="30E263BB" w14:textId="6549C81E" w:rsidR="00E9081E" w:rsidRDefault="00A70715" w:rsidP="00A70715">
      <w:pPr>
        <w:tabs>
          <w:tab w:val="left" w:pos="720"/>
        </w:tabs>
        <w:spacing w:after="0"/>
        <w:ind w:left="720" w:hanging="360"/>
        <w:rPr>
          <w:i/>
          <w:color w:val="5B9BD5" w:themeColor="accent1"/>
        </w:rPr>
      </w:pPr>
      <w:r>
        <w:t xml:space="preserve">        </w:t>
      </w:r>
      <w:r w:rsidR="001B0ADC" w:rsidRPr="003110FB">
        <w:t>summary of the dissenting opinion regarding the recommendation.</w:t>
      </w:r>
      <w:r w:rsidR="004F7ED8">
        <w:t xml:space="preserve">  </w:t>
      </w:r>
    </w:p>
    <w:p w14:paraId="5A8F0C6D" w14:textId="77777777" w:rsidR="00CD7DD3" w:rsidRPr="004F7ED8" w:rsidRDefault="00CD7DD3" w:rsidP="00CD7DD3">
      <w:pPr>
        <w:tabs>
          <w:tab w:val="left" w:pos="720"/>
        </w:tabs>
        <w:spacing w:after="0"/>
        <w:rPr>
          <w:i/>
          <w:color w:val="5B9BD5" w:themeColor="accent1"/>
        </w:rPr>
      </w:pPr>
    </w:p>
    <w:p w14:paraId="3588FBE3" w14:textId="74933135" w:rsidR="00E9081E" w:rsidRPr="00CD7DD3" w:rsidRDefault="00CD7DD3" w:rsidP="00CD7DD3">
      <w:pPr>
        <w:pStyle w:val="ListParagraph"/>
        <w:spacing w:after="0"/>
        <w:rPr>
          <w:i/>
          <w:color w:val="5B9BD5" w:themeColor="accent1"/>
        </w:rPr>
      </w:pPr>
      <w:r w:rsidRPr="00CD7DD3">
        <w:rPr>
          <w:i/>
          <w:color w:val="5B9BD5" w:themeColor="accent1"/>
        </w:rPr>
        <w:t>No</w:t>
      </w:r>
    </w:p>
    <w:p w14:paraId="797F3A33" w14:textId="77777777" w:rsidR="008924A8" w:rsidRPr="003110FB" w:rsidRDefault="008924A8" w:rsidP="00E9081E">
      <w:pPr>
        <w:spacing w:after="0"/>
      </w:pPr>
    </w:p>
    <w:p w14:paraId="6333FE17" w14:textId="4DD3C6EC" w:rsidR="00E9081E" w:rsidRPr="00421B42" w:rsidRDefault="00E9081E" w:rsidP="007A4A8C">
      <w:pPr>
        <w:pStyle w:val="ListParagraph"/>
        <w:numPr>
          <w:ilvl w:val="0"/>
          <w:numId w:val="1"/>
        </w:numPr>
        <w:spacing w:after="0"/>
        <w:rPr>
          <w:color w:val="5B9BD5" w:themeColor="accent1"/>
        </w:rPr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  <w:r w:rsidR="00421B42">
        <w:t xml:space="preserve"> </w:t>
      </w:r>
    </w:p>
    <w:p w14:paraId="5CA7B542" w14:textId="77777777" w:rsidR="00E9081E" w:rsidRDefault="00E9081E" w:rsidP="00E9081E">
      <w:pPr>
        <w:pStyle w:val="ListParagraph"/>
        <w:spacing w:after="0"/>
      </w:pPr>
    </w:p>
    <w:p w14:paraId="37C48A71" w14:textId="48773A85" w:rsidR="00CC00E8" w:rsidRPr="003110FB" w:rsidRDefault="00017409" w:rsidP="00E9081E">
      <w:pPr>
        <w:pStyle w:val="ListParagraph"/>
        <w:spacing w:after="0"/>
      </w:pPr>
      <w:r>
        <w:rPr>
          <w:i/>
          <w:color w:val="5B9BD5" w:themeColor="accent1"/>
        </w:rPr>
        <w:t>Regulations related to packaging and labeling will need to be modified.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50833190" w14:textId="77777777" w:rsidR="00CD7DD3" w:rsidRPr="00CD7DD3" w:rsidRDefault="00CC30A8" w:rsidP="007A4A8C">
      <w:pPr>
        <w:pStyle w:val="ListParagraph"/>
        <w:numPr>
          <w:ilvl w:val="0"/>
          <w:numId w:val="1"/>
        </w:numPr>
        <w:spacing w:after="0"/>
        <w:rPr>
          <w:i/>
          <w:color w:val="5B9BD5" w:themeColor="accent1"/>
        </w:rPr>
      </w:pPr>
      <w:r w:rsidRPr="003110FB">
        <w:t xml:space="preserve">Additional information (cost of implementation, priority according to the recommendations, </w:t>
      </w:r>
      <w:proofErr w:type="spellStart"/>
      <w:r w:rsidRPr="003110FB">
        <w:t>etc</w:t>
      </w:r>
      <w:proofErr w:type="spellEnd"/>
      <w:r w:rsidRPr="003110FB">
        <w:t>)</w:t>
      </w:r>
      <w:r w:rsidR="00B70E4E" w:rsidRPr="003110FB">
        <w:t>.</w:t>
      </w:r>
      <w:r w:rsidR="003C668B">
        <w:t xml:space="preserve">   </w:t>
      </w:r>
    </w:p>
    <w:p w14:paraId="5C7E8252" w14:textId="77777777" w:rsidR="00CD7DD3" w:rsidRDefault="00CD7DD3" w:rsidP="00CD7DD3">
      <w:pPr>
        <w:pStyle w:val="ListParagraph"/>
        <w:spacing w:after="0"/>
        <w:rPr>
          <w:i/>
          <w:color w:val="5B9BD5" w:themeColor="accent1"/>
        </w:rPr>
      </w:pPr>
    </w:p>
    <w:p w14:paraId="6BBB2368" w14:textId="7413A346" w:rsidR="00753FA6" w:rsidRPr="000B452F" w:rsidRDefault="000B452F" w:rsidP="000B452F">
      <w:pPr>
        <w:spacing w:after="0"/>
        <w:ind w:left="720"/>
        <w:rPr>
          <w:i/>
          <w:color w:val="5B9BD5" w:themeColor="accent1"/>
        </w:rPr>
      </w:pPr>
      <w:r w:rsidRPr="000B452F">
        <w:rPr>
          <w:i/>
          <w:color w:val="5B9BD5" w:themeColor="accent1"/>
        </w:rPr>
        <w:t>Not known.</w:t>
      </w:r>
    </w:p>
    <w:p w14:paraId="3201CCE7" w14:textId="77777777" w:rsidR="00A70715" w:rsidRDefault="00A70715" w:rsidP="007A4A8C">
      <w:pPr>
        <w:spacing w:after="0"/>
      </w:pPr>
    </w:p>
    <w:p w14:paraId="0A1E8706" w14:textId="77777777" w:rsidR="00A70715" w:rsidRDefault="00A70715" w:rsidP="007A4A8C">
      <w:pPr>
        <w:spacing w:after="0"/>
      </w:pPr>
    </w:p>
    <w:p w14:paraId="1C6E6BEC" w14:textId="77777777" w:rsidR="00A70715" w:rsidRDefault="00A70715" w:rsidP="007A4A8C">
      <w:pPr>
        <w:spacing w:after="0"/>
      </w:pPr>
    </w:p>
    <w:p w14:paraId="532EF95A" w14:textId="77777777" w:rsidR="00A70715" w:rsidRDefault="00A70715" w:rsidP="007A4A8C">
      <w:pPr>
        <w:spacing w:after="0"/>
      </w:pPr>
    </w:p>
    <w:p w14:paraId="4C20C983" w14:textId="77777777" w:rsidR="00A70715" w:rsidRPr="003110FB" w:rsidRDefault="00A70715" w:rsidP="007A4A8C">
      <w:pPr>
        <w:spacing w:after="0"/>
      </w:pPr>
    </w:p>
    <w:sectPr w:rsidR="00A70715" w:rsidRPr="003110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59B0C" w14:textId="77777777" w:rsidR="00F103F4" w:rsidRDefault="00F103F4" w:rsidP="00391997">
      <w:pPr>
        <w:spacing w:after="0" w:line="240" w:lineRule="auto"/>
      </w:pPr>
      <w:r>
        <w:separator/>
      </w:r>
    </w:p>
  </w:endnote>
  <w:endnote w:type="continuationSeparator" w:id="0">
    <w:p w14:paraId="4291658E" w14:textId="77777777" w:rsidR="00F103F4" w:rsidRDefault="00F103F4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DC67" w14:textId="798B3301" w:rsidR="00CC00E8" w:rsidRPr="00F43822" w:rsidRDefault="00CC00E8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8858D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Bf/QEAAMIDAAAOAAAAZHJzL2Uyb0RvYy54bWysU02P2jAQvVfqf7B8hwSWZSEirKoAvWxb&#10;JLY/wNhOYtXxWLYhoKr/vWPz0W57q5qDNeN58zzzZrJ4PnWaHKXzCkxJR8OcEmk4CGWakn593Qxm&#10;lPjAjGAajCzpWXr6vHz/btHbQo6hBS2kI0hifNHbkrYh2CLLPG9lx/wQrDQYrMF1LKDrmkw41iN7&#10;p7Nxnk+zHpywDrj0Hm9XlyBdJv66ljx8qWsvA9ElxdpCOl069/HMlgtWNI7ZVvFrGewfquiYMvjo&#10;nWrFAiMHp/6i6hR34KEOQw5dBnWtuEw9YDej/I9udi2zMvWC4nh7l8n/P1r++bh1RAmcHSWGdTii&#10;XXBMNW0gFRiDAoIjo6hTb32B8MpsXeyUn8zOvgD/5omBqmWmkane17NFkpSRvUmJjrf42r7/BAIx&#10;7BAgiXaqXRcpUQ5ySrM532cjT4FwvHycTx6mOY6Q32IZK26J1vnwUUJHolFSrUyUjRXs+OIDlo7Q&#10;GyReG9gordPotSE9Vjt+QuoY8qCViNHkuGZfaUeOLG4PfrO0MMj2BubgYERiayUT66sdmNIXG/Ha&#10;RD7sBeu5Wpf1+D7P5+vZejYZTMbT9WCSCzH4sKkmg+lm9PS4elhV1Wr0I8qPLLf8pGuU8jKUPYjz&#10;1kVIlBgXJYGvSx038Xc/oX79esufAAAA//8DAFBLAwQUAAYACAAAACEApiNR+d0AAAAGAQAADwAA&#10;AGRycy9kb3ducmV2LnhtbEyPQUvDQBCF74L/YRnBi7QbK9Yasym20IAoSJsieNtkxySYnQ272zb+&#10;e0c86PG9N7z3TbYcbS+O6EPnSMH1NAGBVDvTUaNgX24mCxAhajK6d4QKvjDAMj8/y3Rq3Im2eNzF&#10;RnAJhVQraGMcUilD3aLVYeoGJM4+nLc6svSNNF6fuNz2cpYkc2l1R7zQ6gHXLdafu4NV8LIt767K&#10;gYr6qXpzr6viuXkvvFKXF+PjA4iIY/w7hh98RoecmSp3IBNEr4AfiQomt8zP6f3NnI3q15B5Jv/j&#10;598AAAD//wMAUEsBAi0AFAAGAAgAAAAhALaDOJL+AAAA4QEAABMAAAAAAAAAAAAAAAAAAAAAAFtD&#10;b250ZW50X1R5cGVzXS54bWxQSwECLQAUAAYACAAAACEAOP0h/9YAAACUAQAACwAAAAAAAAAAAAAA&#10;AAAvAQAAX3JlbHMvLnJlbHNQSwECLQAUAAYACAAAACEAnRbAX/0BAADCAwAADgAAAAAAAAAAAAAA&#10;AAAuAgAAZHJzL2Uyb0RvYy54bWxQSwECLQAUAAYACAAAACEApiNR+d0AAAAGAQAADwAAAAAAAAAA&#10;AAAAAABXBAAAZHJzL2Rvd25yZXYueG1sUEsFBgAAAAAEAAQA8wAAAGEFAAAAAA==&#10;" o:allowincell="f" strokecolor="navy" strokeweight="1pt"/>
          </w:pict>
        </mc:Fallback>
      </mc:AlternateContent>
    </w:r>
    <w:r w:rsidR="00E950F2">
      <w:rPr>
        <w:rFonts w:ascii="Calibri" w:eastAsia="Times New Roman" w:hAnsi="Calibri" w:cs="Times New Roman"/>
        <w:b/>
        <w:i/>
        <w:color w:val="3737A5"/>
        <w:sz w:val="16"/>
        <w:szCs w:val="16"/>
      </w:rPr>
      <w:t>Uniform Potency Labeling 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>Ma</w:t>
    </w:r>
    <w:r w:rsidR="00E950F2">
      <w:rPr>
        <w:rFonts w:ascii="Calibri" w:eastAsia="Times New Roman" w:hAnsi="Calibri" w:cs="Times New Roman"/>
        <w:bCs/>
        <w:i/>
        <w:color w:val="3737A5"/>
        <w:sz w:val="16"/>
        <w:szCs w:val="16"/>
      </w:rPr>
      <w:t>y</w: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 xml:space="preserve"> 1</w:t>
    </w:r>
    <w:r w:rsidR="00E950F2">
      <w:rPr>
        <w:rFonts w:ascii="Calibri" w:eastAsia="Times New Roman" w:hAnsi="Calibri" w:cs="Times New Roman"/>
        <w:bCs/>
        <w:i/>
        <w:color w:val="3737A5"/>
        <w:sz w:val="16"/>
        <w:szCs w:val="16"/>
      </w:rPr>
      <w:t>2</w: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CC00E8" w:rsidRPr="00F43822" w:rsidRDefault="00CC00E8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CC00E8" w:rsidRDefault="00CC0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840C5" w14:textId="77777777" w:rsidR="00F103F4" w:rsidRDefault="00F103F4" w:rsidP="00391997">
      <w:pPr>
        <w:spacing w:after="0" w:line="240" w:lineRule="auto"/>
      </w:pPr>
      <w:r>
        <w:separator/>
      </w:r>
    </w:p>
  </w:footnote>
  <w:footnote w:type="continuationSeparator" w:id="0">
    <w:p w14:paraId="57C4931E" w14:textId="77777777" w:rsidR="00F103F4" w:rsidRDefault="00F103F4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608A" w14:textId="30E1BC54" w:rsidR="00CC00E8" w:rsidRPr="00F43822" w:rsidRDefault="00CC00E8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Uniform Potency Labeling - Recommendation</w:t>
    </w:r>
  </w:p>
  <w:p w14:paraId="17B7899E" w14:textId="77777777" w:rsidR="00CC00E8" w:rsidRDefault="00CC00E8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062"/>
    <w:multiLevelType w:val="hybridMultilevel"/>
    <w:tmpl w:val="C73A9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3F4F"/>
    <w:multiLevelType w:val="hybridMultilevel"/>
    <w:tmpl w:val="C73A9B6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D26AA"/>
    <w:multiLevelType w:val="hybridMultilevel"/>
    <w:tmpl w:val="4E9E7ECE"/>
    <w:lvl w:ilvl="0" w:tplc="1512D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5719B"/>
    <w:multiLevelType w:val="hybridMultilevel"/>
    <w:tmpl w:val="34D896D6"/>
    <w:lvl w:ilvl="0" w:tplc="E1EEFFDC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55D68"/>
    <w:multiLevelType w:val="multilevel"/>
    <w:tmpl w:val="CAC47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90BEF"/>
    <w:multiLevelType w:val="hybridMultilevel"/>
    <w:tmpl w:val="1FAE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9505F"/>
    <w:multiLevelType w:val="hybridMultilevel"/>
    <w:tmpl w:val="7A103238"/>
    <w:lvl w:ilvl="0" w:tplc="B3FC5176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1831"/>
    <w:rsid w:val="00002F6E"/>
    <w:rsid w:val="00017409"/>
    <w:rsid w:val="00060468"/>
    <w:rsid w:val="000A61D0"/>
    <w:rsid w:val="000B01A4"/>
    <w:rsid w:val="000B452F"/>
    <w:rsid w:val="000B5F15"/>
    <w:rsid w:val="000D1417"/>
    <w:rsid w:val="000F6CB2"/>
    <w:rsid w:val="00101768"/>
    <w:rsid w:val="00114EF2"/>
    <w:rsid w:val="00122702"/>
    <w:rsid w:val="001866F9"/>
    <w:rsid w:val="00187238"/>
    <w:rsid w:val="001A1920"/>
    <w:rsid w:val="001B0ADC"/>
    <w:rsid w:val="001B10FF"/>
    <w:rsid w:val="001C0D87"/>
    <w:rsid w:val="00202CA3"/>
    <w:rsid w:val="00202E4C"/>
    <w:rsid w:val="00212CEB"/>
    <w:rsid w:val="0023729A"/>
    <w:rsid w:val="00280946"/>
    <w:rsid w:val="003110FB"/>
    <w:rsid w:val="00347B53"/>
    <w:rsid w:val="00385ACE"/>
    <w:rsid w:val="00391997"/>
    <w:rsid w:val="003C668B"/>
    <w:rsid w:val="003D0C3C"/>
    <w:rsid w:val="003F1A0E"/>
    <w:rsid w:val="004039AB"/>
    <w:rsid w:val="00421B42"/>
    <w:rsid w:val="004250F1"/>
    <w:rsid w:val="00435662"/>
    <w:rsid w:val="00442835"/>
    <w:rsid w:val="00442A3F"/>
    <w:rsid w:val="00447ED7"/>
    <w:rsid w:val="00461F17"/>
    <w:rsid w:val="0049432C"/>
    <w:rsid w:val="004A1F2F"/>
    <w:rsid w:val="004C25B3"/>
    <w:rsid w:val="004D29C1"/>
    <w:rsid w:val="004E1544"/>
    <w:rsid w:val="004F7ED8"/>
    <w:rsid w:val="00565923"/>
    <w:rsid w:val="0059366C"/>
    <w:rsid w:val="005B05EE"/>
    <w:rsid w:val="005C2FC2"/>
    <w:rsid w:val="005C5D7F"/>
    <w:rsid w:val="005E102D"/>
    <w:rsid w:val="005F64C1"/>
    <w:rsid w:val="006B0A7E"/>
    <w:rsid w:val="006D4662"/>
    <w:rsid w:val="006D6DDC"/>
    <w:rsid w:val="00700DCA"/>
    <w:rsid w:val="007217A8"/>
    <w:rsid w:val="00734CA0"/>
    <w:rsid w:val="00753FA6"/>
    <w:rsid w:val="007746E2"/>
    <w:rsid w:val="00774894"/>
    <w:rsid w:val="007765FD"/>
    <w:rsid w:val="00783B58"/>
    <w:rsid w:val="007A2CAF"/>
    <w:rsid w:val="007A4A8C"/>
    <w:rsid w:val="008313F9"/>
    <w:rsid w:val="00866516"/>
    <w:rsid w:val="00882C01"/>
    <w:rsid w:val="00882EE9"/>
    <w:rsid w:val="008924A8"/>
    <w:rsid w:val="008D5094"/>
    <w:rsid w:val="008F0634"/>
    <w:rsid w:val="009201F4"/>
    <w:rsid w:val="009264B2"/>
    <w:rsid w:val="0093747F"/>
    <w:rsid w:val="00945097"/>
    <w:rsid w:val="00957E83"/>
    <w:rsid w:val="00961D8A"/>
    <w:rsid w:val="009743BB"/>
    <w:rsid w:val="009805E6"/>
    <w:rsid w:val="0099209B"/>
    <w:rsid w:val="00996A51"/>
    <w:rsid w:val="009D1938"/>
    <w:rsid w:val="009F3552"/>
    <w:rsid w:val="00A13177"/>
    <w:rsid w:val="00A312E6"/>
    <w:rsid w:val="00A51981"/>
    <w:rsid w:val="00A65F54"/>
    <w:rsid w:val="00A703DF"/>
    <w:rsid w:val="00A70715"/>
    <w:rsid w:val="00A8431A"/>
    <w:rsid w:val="00A86D20"/>
    <w:rsid w:val="00A97ACD"/>
    <w:rsid w:val="00AA4446"/>
    <w:rsid w:val="00AB71F7"/>
    <w:rsid w:val="00AF130E"/>
    <w:rsid w:val="00AF48C7"/>
    <w:rsid w:val="00AF4C63"/>
    <w:rsid w:val="00B01851"/>
    <w:rsid w:val="00B11C15"/>
    <w:rsid w:val="00B25BD5"/>
    <w:rsid w:val="00B70E4E"/>
    <w:rsid w:val="00B93232"/>
    <w:rsid w:val="00BC0B03"/>
    <w:rsid w:val="00BC0F10"/>
    <w:rsid w:val="00BD02A0"/>
    <w:rsid w:val="00BF6BBC"/>
    <w:rsid w:val="00C41991"/>
    <w:rsid w:val="00C42596"/>
    <w:rsid w:val="00CA11CD"/>
    <w:rsid w:val="00CB53DE"/>
    <w:rsid w:val="00CC00E8"/>
    <w:rsid w:val="00CC0A14"/>
    <w:rsid w:val="00CC30A8"/>
    <w:rsid w:val="00CD7DD3"/>
    <w:rsid w:val="00D22E65"/>
    <w:rsid w:val="00D926ED"/>
    <w:rsid w:val="00D92BBB"/>
    <w:rsid w:val="00DA287B"/>
    <w:rsid w:val="00DC37BD"/>
    <w:rsid w:val="00DC4C91"/>
    <w:rsid w:val="00DD1A10"/>
    <w:rsid w:val="00DD33C8"/>
    <w:rsid w:val="00DE0ABD"/>
    <w:rsid w:val="00E0373D"/>
    <w:rsid w:val="00E45CA2"/>
    <w:rsid w:val="00E5183E"/>
    <w:rsid w:val="00E818ED"/>
    <w:rsid w:val="00E9081E"/>
    <w:rsid w:val="00E950F2"/>
    <w:rsid w:val="00E96CEA"/>
    <w:rsid w:val="00EC03A5"/>
    <w:rsid w:val="00EF5FDA"/>
    <w:rsid w:val="00F046BC"/>
    <w:rsid w:val="00F103F4"/>
    <w:rsid w:val="00F27CF2"/>
    <w:rsid w:val="00F40C9B"/>
    <w:rsid w:val="00F43822"/>
    <w:rsid w:val="00F6256A"/>
    <w:rsid w:val="00F63D89"/>
    <w:rsid w:val="00FC1FA5"/>
    <w:rsid w:val="00FC5B4E"/>
    <w:rsid w:val="00F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  <w15:docId w15:val="{E02C8347-FCDC-4524-A491-99F8CAB2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1CB31-9243-4F78-9D9D-11E818C2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3</cp:revision>
  <cp:lastPrinted>2017-04-13T19:09:00Z</cp:lastPrinted>
  <dcterms:created xsi:type="dcterms:W3CDTF">2017-04-27T19:48:00Z</dcterms:created>
  <dcterms:modified xsi:type="dcterms:W3CDTF">2017-04-27T19:51:00Z</dcterms:modified>
</cp:coreProperties>
</file>